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A34BF" w:rsidRPr="006A34BF" w:rsidTr="006A34BF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6A34BF" w:rsidRPr="006A34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4BF" w:rsidRPr="006A34BF" w:rsidRDefault="006A34BF" w:rsidP="006A34BF">
                  <w:pPr>
                    <w:spacing w:after="0" w:line="240" w:lineRule="auto"/>
                    <w:ind w:left="300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kern w:val="36"/>
                      <w:sz w:val="24"/>
                      <w:szCs w:val="24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kern w:val="36"/>
                      <w:sz w:val="24"/>
                      <w:szCs w:val="24"/>
                      <w:lang w:eastAsia="ru-RU"/>
                    </w:rPr>
                    <w:t>ИЗМЕНЕНИЕ N 1</w:t>
                  </w:r>
                  <w:proofErr w:type="gramStart"/>
                  <w:r w:rsidRPr="006A34BF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kern w:val="36"/>
                      <w:sz w:val="24"/>
                      <w:szCs w:val="24"/>
                      <w:lang w:eastAsia="ru-RU"/>
                    </w:rPr>
                    <w:t xml:space="preserve"> К</w:t>
                  </w:r>
                  <w:proofErr w:type="gramEnd"/>
                  <w:r w:rsidRPr="006A34BF"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kern w:val="36"/>
                      <w:sz w:val="24"/>
                      <w:szCs w:val="24"/>
                      <w:lang w:eastAsia="ru-RU"/>
                    </w:rPr>
                    <w:t xml:space="preserve"> СВОДУ ПРАВИЛ СП 5.13130.2009 "СИСТЕМЫ ПРОТИВОПОЖАРНОЙ ЗАЩИТЫ. УСТАНОВКИ ПОЖАРНОЙ СИГНАЛИЗАЦИИ И ПОЖАРОТУШЕНИЯ АВТОМАТИЧЕСКИЕ. НОРМЫ И ПРАВИЛА ПРОЕКТИРОВАНИЯ"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Утверждено </w:t>
                  </w: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и введено в действие </w:t>
                  </w: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Приказом МЧС России </w:t>
                  </w: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от ____________ N ______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Дата введения </w:t>
                  </w: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br/>
                    <w:t> 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1) В разделе 3: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пункт 3.99 изложить в следующей редакции: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"3.99.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спринклерно-дренчерная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АУП (АУП-СД):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Спринклерная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АУП, в которой применен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дренчерный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узел управления и технические средства его активации, а подача огнетушащего вещества в защищаемую зону осуществляется только при срабатывании по логической схеме "И"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спринклерного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оросителя и технических средств активации узла управления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.";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дополнить пунктами 3.121 - 3.125 следующего содержания: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"3.121. система пожарной автоматики: Оборудование, объединенное соединительными линиями и работающее по заданному алгоритму с целью выполнения задач по обеспечению пожарной безопасности на объекте.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3.122. воздушный компенсатор: Устройство с фиксированным отверстием, предназначенное для сведения к минимуму вероятности ложных срабатываний сигнального клапана, вызываемых утечками воздуха в питающем и/или распределительном трубопроводах воздушных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спринклерных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АУП.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3.123. интенсивность орошения: 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Объем огнетушащей жидкости (вода, водный раствор (в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 водный раствор пенообразователя, другие огнетушащие жидкости), приходящийся на единицу площади в единицу времени.</w:t>
                  </w:r>
                  <w:proofErr w:type="gramEnd"/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3.124. минимальная площадь, орошаемая АУП: Минимальное значение нормативной или проектной части общей защищаемой площади, подвергаемой одновременному орошению огнетушащей жидкостью при срабатывании всех оросителей, расположенных на этой части общей защищаемой площади.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3.125.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термоактивирующееся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микрокапсулированное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ОТВ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(Терма-ОТВ): 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Вещество (огнетушащие жидкость или газ), содержащееся в виде микровключений (микрокапсул) в твердых, пластичных или сыпучих материалах, выделяющееся при подъеме температуры до определенного (заданного) значения."</w:t>
                  </w:r>
                  <w:proofErr w:type="gramEnd"/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2) Пункт 4.2 раздела 4 изложить в следующей редакции: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"4.2. Автоматические установки (за исключением 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автономных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) должны выполнять одновременно и функцию пожарной сигнализации.".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3) В разделе 5: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в примечаниях к таблице 5.1 пункта 5.1.4: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пункт 4 изложить в следующей редакции: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"4. Если фактическая защищаемая площадь </w:t>
                  </w:r>
                  <w:proofErr w:type="spellStart"/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S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ф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меньше минимальной площади S, орошаемой АУП, указанной в таблице 5.3, то фактический расход может быть уменьшен на коэффициент K =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Sф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/ S.";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дополнить пунктами 7 - 9 следующего содержания: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"7. Продолжительность работы пенных АУП с пеной низкой и средней кратности при поверхностном способе пожаротушения следует принимать: 10 мин. - для помещений категорий В2 и В3 по пожарной опасности; 15 мин. - для помещений категорий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А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, Б и В1 по взрывопожарной и пожарной опасности; 25 мин. - для помещений группы 7.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8. Для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дренчерных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АУП допускается расстановка оросителей с расстояниями между ними более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чем приведенные в таблице 5.1 для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спринклерных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оросителей, при условии, что при расстановке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дренчерных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оросителей обеспечиваются нормативные значения интенсивности орошения всей защищаемой площади и </w:t>
                  </w: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принятое решение не противоречит требованиям технической документации на данный вид оросителей.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9. Расстояние между оросителями под покрытием с уклоном должно приниматься по горизонтальной плоскости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.";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пункт 5.4.4 исключить;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пункт 5.8.8 дополнить абзацем следующего содержания: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"В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спринклерных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водозаполненных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и воздушных АУП допускается монтаж запорного устройства за сигнальным клапаном при условии обеспечения автоматического контроля состояния запорного устройства ("Закрыто" - "Открыто") с выводом сигнала в помещение с постоянным пребыванием дежурного персонала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.";</w:t>
                  </w:r>
                  <w:proofErr w:type="gramEnd"/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пункт 5.9.25 дополнить абзацем следующего содержания: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"Расчетный и резервный объемы пенообразователя допускается содержать в одном сосуде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.".</w:t>
                  </w:r>
                  <w:proofErr w:type="gramEnd"/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4) таблицу 8.1 пункта 8.3 раздела 8 изложить в следующей редакции: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Таблица 8.1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--------------------------------------+------------------------------------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¦Сжиженные 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газы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¦Сжатые газы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+-------------------------------------+-----------------------------------+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¦Двуокись углерода (CO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          ¦Азот (N2)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2               ¦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+-------------------------------------+-----------------------------------+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¦Хладон 23 (CF H)                     ¦Аргон (</w:t>
                  </w:r>
                  <w:proofErr w:type="spell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Ar</w:t>
                  </w:r>
                  <w:proofErr w:type="spell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)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3                       ¦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+-------------------------------------+-----------------------------------+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¦Хладон 125 (C F H) Хладон 218 (C F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¦</w:t>
                  </w:r>
                  <w:proofErr w:type="spell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Инерген</w:t>
                  </w:r>
                  <w:proofErr w:type="spell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: азот (N ) - 52% (об.)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2 5                3 8  ¦                2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¦Хладон 227ea (C3F7H)                 ¦аргон (</w:t>
                  </w:r>
                  <w:proofErr w:type="spell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Ar</w:t>
                  </w:r>
                  <w:proofErr w:type="spell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) - 40% (об.) двуокись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¦углерода (CO2) - 8% (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об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.)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+-------------------------------------+-----------------------------------+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¦Хладон 318Ц (C F Ц)                  ¦</w:t>
                  </w:r>
                  <w:proofErr w:type="spell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Аргонит</w:t>
                  </w:r>
                  <w:proofErr w:type="spell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: азот (N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- 50% (об.)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4 8                    ¦                2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</w:t>
                  </w:r>
                  <w:proofErr w:type="spell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Шестифтористая</w:t>
                  </w:r>
                  <w:proofErr w:type="spell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сера (SF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        ¦аргон (</w:t>
                  </w:r>
                  <w:proofErr w:type="spell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Ar</w:t>
                  </w:r>
                  <w:proofErr w:type="spell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) - 50% (об.)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6             ¦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¦Хладон ТФМ - 18И: хладон 23 (CF H) - ¦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3     ¦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¦90% (масс.) йодистый метил (CH3J) -  ¦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¦10% (масс.)                          ¦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+-------------------------------------+-----------------------------------+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¦Хладон ФК-5-1-12 (CF </w:t>
                  </w:r>
                  <w:proofErr w:type="spell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CF</w:t>
                  </w:r>
                  <w:proofErr w:type="spell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C(0)CF(CF3)2)¦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3  2             ¦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+-------------------------------------+-----------------------------------+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¦Хладон 217J1(C F J)                  ¦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3 7                    ¦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+-------------------------------------+-----------------------------------+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¦Хладон CF J                          ¦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3                           ¦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--------------------------------------+------------------------------------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5) В разделе 11: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пункт 11.1 изложить в следующей редакции: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"11.1. Автономные установки пожаротушения подразделяются по виду огнетушащего вещества (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ОТВ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) на жидкостные, пенные, газовые, порошковые, аэрозольные, установки пожаротушения с Терма-ОТВ и комбинированные."; пункты 11.3, 11.4 изложить в следующей редакции соответственно: "11.3 Проектирование автономных установок производится в соответствии с руководством по проектированию, разработанным проектной организацией для защиты типовых объектов.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11.4. Требования, предъявляемые к запасу 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ОТВ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для автономной установки пожаротушения, должны соответствовать требованиям к запасу ОТВ для автоматической установки пожаротушения модульного типа, за исключением автономных установок с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термоактивирующимся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микрокапсулированным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ОТВ."; дополнить пунктом 11.6 следующего содержания: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"11.6. Автономные установки пожаротушения рекомендуется использовать для защиты электротехнического оборудования в соответствии с техническими характеристиками электрооборудования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.".</w:t>
                  </w:r>
                  <w:proofErr w:type="gramEnd"/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6) В разделе 13: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пункт 13.1.11 изложить в следующей редакции: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"13.1.11. Пожарные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извещатели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следует применять в соответствии с требованиями данного свода правил, иных нормативных документов по пожарной безопасности, а также технической документации на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извещатели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конкретных типов.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Исполнение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извещателей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должно обеспечивать их безопасность по отношению к внешней среде в соответствии с требованиями [7].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Тип и параметры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извещателей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должны обеспечивать их устойчивость к воздействиям климатических, механических, электромагнитных, оптических, радиационных и иных факторов внешней среды в местах размещения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извещателей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.";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пункт 13.2.2 изложить в следующей редакции: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"13.2.2. Максимальное количество и площадь помещений, защищаемых одной адресной линией с адресными пожарными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извещателями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или адресными устройствами, определяется техническими возможностями приемно-контрольной аппаратуры, техническими характеристиками включаемых в линию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извещателей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и не зависит от расположения помещений в здании.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В адресные шлейфы пожарной сигнализации вместе с адресными пожарными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извещателями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могут включаться адресные устройства ввода/вывода, адресные модули контроля безадресных шлейфов с включенными в них безадресными пожарными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извещателями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, сепараторы короткого замыкания, адресные исполнительные устройства. Возможность включения в адресный шлейф адресных устройств и их количество определяются техническими характеристиками используемого оборудования, приведенными в технической документации изготовителя.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В адресные линии приемно-контрольных приборов могут включаться адресные охранные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извещатели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или безадресные охранные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извещатели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через адресные устройства, при условии обеспечения необходимых алгоритмов работы пожарных и охранных систем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.";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пункт 13.3.6 изложить в следующей редакции: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"13.3.6. 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Размещение точечных тепловых и дымовых пожарных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извещателей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следует производить с учетом воздушных потоков в защищаемом помещении, вызываемых приточной и/или вытяжной вентиляцией, при этом расстояние от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извещателя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до вентиляционного отверстия должно быть не менее 1 м. В случае применения аспирационных пожарных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извещателей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расстояние от воздухозаборной трубы с отверстиями до вентиляционного отверстия регламентируется величиной допустимого воздушного потока для данного типа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извещателей</w:t>
                  </w:r>
                  <w:proofErr w:type="spellEnd"/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в соответствии с технической документацией на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извещатель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Горизонтальное и вертикальное расстояние от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извещателей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до близлежащих предметов и устройств, до электросветильников в любом случае должно быть не менее 0,5 м. Размещение пожарных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извещателей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должно осуществляться таким образом, чтобы близлежащие предметы и устройства (трубы, воздуховоды, оборудование и прочее) не препятствовали воздействию факторов пожара на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извещатели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, а источники светового излучения, электромагнитные помехи не влияли на сохранение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извещателем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работоспособности."; пункт 13.3.8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изложить в следующей редакции: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"13.3.8. Точечные дымовые и тепловые пожарные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извещатели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следует устанавливать в каждом отсеке потолка шириной 0,75 м и более, ограниченном строительными конструкциями (балками, прогонами, ребрами плит и т.п.), выступающими от потолка на расстояние более 0,4 м.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Если строительные конструкции выступают от потолка на расстояние более 0,4 м, а образуемые ими отсеки по ширине меньше 0,75 м, контролируемая пожарными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извещателями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площадь, указанная в таблицах 13.3 и </w:t>
                  </w: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13.5, уменьшается на 40%.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При наличии на потолке выступающих частей от 0,08 до 0,4 м контролируемая пожарными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извещателями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площадь, указанная в таблицах 13.3 и 13.5, уменьшается на 25%.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Максимальное расстояние между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извещателями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вдоль линейных балок определяется по таблицам 13.3 и 13.5 с учетом п. 13.3.10."; пункт 13.15.9 изложить в следующей редакции: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"13.15.9. Соединительные линии, выполненные телефонными и контрольными кабелями, удовлетворяющими требованиям п. 13.15.7, должны иметь резервный запас жил кабелей и клемм соединительных коробок не менее чем по 10%.";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абзац первый пункта 13.15.14 изложить в следующей редакции: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"13.15.14. Не допускается совместная прокладка шлейфов пожарной сигнализации и соединительных линий систем пожарной автоматики с напряжением до 60 В с линиями напряжением 110 В и более в одном коробе, трубе, жгуте, замкнутом канале строительной конструкции или на одном лотке."; абзац первый пункта 13.15.15 изложить в следующей редакции: "13.15.15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ри параллельной открытой прокладке расстояние от проводов и кабелей систем пожарной автоматики с напряжением до 60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В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до силовых и осветительных кабелей должно быть не менее 0,5 м.". 7) В разделе 14: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пункт 14.2 изложить в следующей редакции: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"14.2. 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Формирование сигналов управления системами оповещения 1, 2, 3, 4-го типа по [15], оборудованием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противодымной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защиты,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общеобменной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вентиляции и кондиционирования, инженерным оборудованием, участвующим в обеспечении пожарной безопасности объекта, а также формирование команд на отключение электропитания потребителей, сблокированных с системами пожарной автоматики, допускается осуществлять при срабатывании одного пожарного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извещателя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, удовлетворяющего рекомендациям, изложенным в приложении Р. В этом случае в помещении (части помещения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) устанавливается не менее двух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извещателей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, включенных по логической схеме "ИЛИ". Расстановка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извещателей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осуществляется на расстоянии не более 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нормативного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При применении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извещателей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, дополнительно 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удовлетворяющих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требованиям п. 13.3.3 а), б), в), в помещении (части помещения) допускается установка одного пожарного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извещателя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.";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пункты 14.4, 14.5 изложить в следующей редакции соответственно: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"14.4. В помещение с круглосуточным пребыванием дежурного персонала должны быть выведены извещения о неисправности приборов контроля и управления, установленных вне этого помещения, а также линий связи, контроля и управления техническими средствами оповещения людей при пожаре и управления эвакуацией,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противодымной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защиты, автоматического пожаротушения и других установок и устрой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ств пр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отивопожарной защиты.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Проектной документацией должен быть определен получатель извещения о пожаре для обеспечения выполнения задач в соответствии с разделом 17.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На объектах класса функциональной опасности Ф 1.1 и Ф 4.1 извещения о пожаре должны передаваться в подразделения пожарной охраны по выделенному в установленном порядке радиоканалу или другим линиям связи в автоматическом режиме без участия персонала объектов и любых организаций, транслирующих эти сигналы. Рекомендуется применять технические средства с устойчивостью к воздействиям электромагнитных помех не ниже 3-й степени жесткости по ГОСТ 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Р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53325-2009.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При отсутствии на объекте персонала, ведущего круглосуточное дежурство, извещения о пожаре должны передаваться в подразделения пожарной охраны по выделенному в установленном порядке радиоканалу или другим линиям связи в автоматическом режиме.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На других объектах при наличии технической возможности рекомендуется осуществлять дублирование сигналов автоматической пожарной сигнализации о пожаре в подразделения пожарной охраны по выделенному в установленном порядке радиоканалу или другим линиям связи в автоматическом режиме.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При этом должны обеспечиваться мероприятия по повышению достоверности извещения о пожаре, например, передача извещений "Внимание", "Пожар" и др.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14.5. Пуск системы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противодымной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вентиляции рекомендуется осуществлять от дымовых или газовых пожарных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извещателей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, в том числе и в случае применения на объекте 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instrText xml:space="preserve"> HYPERLINK "http://www.pojar.ru/protivopozharnyie-sistemyi/sistemyi-pozharotusheniya/sprinklernaya-sistema-pozharotusheniya/" </w:instrText>
                  </w: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fldChar w:fldCharType="separate"/>
                  </w: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>спринклерной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t xml:space="preserve"> установки пожаротушения</w:t>
                  </w: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fldChar w:fldCharType="end"/>
                  </w: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Пуск системы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противодымной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вентиляции должен производиться от пожарных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извещателей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если время срабатывания автоматической установки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спринклерного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пожаротушения более времени, </w:t>
                  </w: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необходимого для срабатывания системы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противодымной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вентиляции и для обеспечения безопасной эвакуации;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если огнетушащее вещество (вода)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спринклерной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установки водяного пожаротушения затрудняет эвакуацию людей.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В остальных случаях системы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противодымной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вентиляции допускается включать от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спринклерной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установки пожаротушения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.".</w:t>
                  </w:r>
                  <w:proofErr w:type="gramEnd"/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8) Пункт 15.1 раздела 15 изложить в следующей редакции: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"15.1. По степени 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обеспечения надежности электроснабжения системы противопожарной защиты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следует относить к I категории согласно Правилам устройства электроустановок, за исключением электродвигателей компрессора, насосов дренажного и подкачки пенообразователя, относящихся к III категории электроснабжения, а также случаев, указанных в п. п. 15.3, 15.4.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Электроснабжение систем противопожарной защиты зданий класса функциональной пожарной опасности Ф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.1 с круглосуточным пребыванием людей должно обеспечиваться от трех независимых взаимно резервирующих источников питания, в качестве одного из которых следует применять автономные электрогенераторы.".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9) В приложении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А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пункт А.2 изложить в следующей редакции: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"А.2. Под зданием в настоящем приложении понимается здание в целом или часть здания (пожарный отсек), выделенные противопожарными стенами и противопожарными перекрытиями 1-го типа.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Под нормативным показателем площади помещения в разделе III настоящего приложения понимается площадь части здания или сооружения, выделенная ограждающими конструкциями, отнесенными к противопожарным преградам с пределом огнестойкости: перегородки - не менее EI 45, стены и перекрытия - не менее REI 45. Для зданий и сооружений, в составе которых отсутствуют части (помещения), выделенные ограждающими конструкциями с указанным пределом огнестойкости, под нормативным показателем площади помещения в разделе III настоящего приложения понимается площадь, выделенная наружными ограждающими конструкциями здания или сооружения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.";</w:t>
                  </w:r>
                  <w:proofErr w:type="gramEnd"/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в таблице А.1: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пункты 4, 5 и 6 изложить в следующей редакции соответственно: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--------------------------------------------+-------------+----------------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¦Объект защиты                              ¦     АУП     ¦     АУПС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¦Нормативный показатель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¦4. Здания и сооружения для автомобилей:    ¦           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¦4.1. Автостоянки закрытого типа            ¦           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           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¦4.1.1. 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Подземные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, надземные высотой 2 этажа¦ Независимо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¦и более                                    ¦от площади и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  этажности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¦4.1.2. Надземные одноэтажные               ¦           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           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¦4.1.2.1. Здания I, II, III степеней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    ¦  П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ри общей  ¦   При общей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¦огнестойкости                              ¦площади 7000 ¦    площади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    кв. м    ¦  менее 7000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   и более   ¦     кв. м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¦4.1.2.2. Здания IV степени огнестойкости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¦  П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ри общей  ¦   При общей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¦класса конструктивной пожарной опасности </w:t>
                  </w:r>
                  <w:proofErr w:type="spell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CO¦площади</w:t>
                  </w:r>
                  <w:proofErr w:type="spell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3600 ¦    площади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    кв. м    ¦  менее 3600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   и более   ¦     кв. м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¦4.1.2.3. Здания IV степени огнестойкости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¦  П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ри общей  ¦   При общей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¦класса конструктивной пожарной опасности C1¦площади 2000 ¦    площади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    кв. м    ¦  менее 2000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   и более   ¦     кв. м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¦4.1.2.4. Здания IV степени огнестойкости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¦  П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ри общей  ¦   При общей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¦класса конструктивной пожарной опасности   ¦площади 1000 ¦    площади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¦C2, C3                                     ¦    кв. м    ¦  менее 1000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   и более   ¦     кв. м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¦4.1.3. Здания механизированных автостоянок ¦ Независимо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 от площади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 и этажности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¦4.2. Для технического обслуживания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     ¦П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о [20]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¦и ремонта                                  ¦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--------------------------------------------+------------------------------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--------------------------------------------+-------------+----------------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¦Объект защиты                              ¦     АУП     ¦     АУПС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¦Нормативный показатель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¦5. 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Здания высотой более 30 м (за           ¦Независимо от¦               ¦</w:t>
                  </w:r>
                  <w:proofErr w:type="gramEnd"/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¦исключением жилых зданий и </w:t>
                  </w:r>
                  <w:proofErr w:type="spell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производственных¦площади</w:t>
                  </w:r>
                  <w:proofErr w:type="spell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¦зданий категории Г и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Д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по пожарной         ¦           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¦опасности)                                 ¦           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¦6  Жилые здания:                           ¦           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¦6.1. Общежития, специализированные жилые   ¦             ¦Независимо   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¦дома для престарелых и инвалидов &lt;1&gt;       ¦             ¦площади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¦6.2. Жилые здания высотой более 28 м &lt;2&gt;   ¦             ¦Независимо   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             ¦площади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--------------------------------------------+-------------+----------------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Сноску "&lt;2&gt;" изложить в следующей редакции: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"&lt;2&gt; Пожарные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извещатели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АУПС устанавливаются в прихожих квартир и используются для открывания клапанов и включения вентиляторов установок подпора воздуха и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дымоудаления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. Жилые помещения квартир в жилых зданиях высотой три этажа и более следует оборудовать автономными оптико-электронными дымовыми пожарными </w:t>
                  </w:r>
                  <w:proofErr w:type="spell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извещателями</w:t>
                  </w:r>
                  <w:proofErr w:type="spell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.";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в таблице А.3: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пункт 6 включить в раздел "Производственные помещения", исключив его из раздела "Помещения складского назначения";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пункт 35 изложить в следующей редакции: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--------------------------------------------+-------------+----------------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¦Объект защиты                              ¦    АУПТ     ¦     АУПС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¦Нормативный показатель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¦35. Помещения для размещения:              ¦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¦35.1. Электронно-вычислительных машин      ¦Независимо 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от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¦(ЭВМ), оборудования АСУ ТП, работающих в   ¦площади    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¦системах управления 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сложными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           ¦           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¦технологическими процессами, нарушение     ¦           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¦которых влияет на безопасность людей &lt;5&gt;   ¦           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¦35.2. Связных процессоров (серверные),     ¦24 м2 и </w:t>
                  </w:r>
                  <w:proofErr w:type="spell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более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¦М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енее</w:t>
                  </w:r>
                  <w:proofErr w:type="spell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24 м2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¦архивов магнитных носителей,               ¦           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¦графопостроителей, печати информации 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¦           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¦бумажных носителях (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принтерные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) &lt;5&gt;        ¦             ¦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¦35.3. Для размещения персональных ЭВМ 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¦             ¦Независимо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¦рабочих столах пользователей               ¦             ¦от площади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--------------------------------------------+-------------+----------------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дополнить сноской &lt;5&gt; следующего содержания: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"&lt;5&gt; В случаях, предусмотренных пунктом 8.15.1 настоящего свода правил, для помещений, требующих оснащения автоматическими установками газового пожаротушения, допускается не применять такие установки, при условии, что все электронное и электротехническое оборудование защищено автономными установками пожаротушения, а в помещениях установлена автоматическая пожарная сигнализация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.";</w:t>
                  </w:r>
                  <w:proofErr w:type="gramEnd"/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в таблице А.4: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дополнить пунктом 8 следующего содержания: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--------------------------------------------+-------------+-----------------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¦Объект защиты                              ¦    АУПТ     ¦      АУПС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+-------------+----------------+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       ¦Нормативный показатель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+-------------------------------------------+-------------+----------------+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¦8. Электрощиты  и </w:t>
                  </w:r>
                  <w:proofErr w:type="spell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электрошкафы</w:t>
                  </w:r>
                  <w:proofErr w:type="spell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(в том </w:t>
                  </w:r>
                  <w:proofErr w:type="spell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числе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¦Д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proofErr w:type="spell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0,1 м3    ¦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¦распределительных устройств), 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расположенные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¦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¦в помещениях класса 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функциональной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пожарной¦             ¦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¦опасности Ф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.1 &lt;1&gt;                         ¦             ¦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--------------------------------------------+-------------+-----------------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дополнить сноской "&lt;1&gt;" следующего содержания: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"Перечисленное оборудование подлежит защите автономными установками пожаротушения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.";</w:t>
                  </w:r>
                  <w:proofErr w:type="gramEnd"/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дополнить примечанием следующего содержания: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"Примечание: Электроустановки, расположенные на стационарных наземных и подземных объектах метрополитена, следует защищать автономными установками пожаротушения.";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приложение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Д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дополнить пунктами Д11 - Д15 следующего содержания соответственно: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"Д.11. Нормативная объемная огнетушащая концентрация хладона ТФМ-18И. Плотность паров при P = 101,3 кПа и T = 20 °C составляет 3,24 кг/м3.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Таблица Д.11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----------------------+-----------------+----------------------------------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¦Наименование горючего¦  ГОСТ, ТУ, ОСТ  ¦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Нормативная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объемная огнетушащая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материала      ¦                 ¦     концентрация, % (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об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.)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+---------------------+-----------------+---------------------------------+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Н-гептан       ¦ГОСТ 25823       ¦               9,5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----------------------+-----------------+----------------------------------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Д.12   Нормативная   объемная    огнетушащая    концентрация    хладона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CF </w:t>
                  </w:r>
                  <w:proofErr w:type="spell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CF</w:t>
                  </w:r>
                  <w:proofErr w:type="spell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C(0)CF(CF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.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3  2         3 2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Плотность паров при P = 101,3 кПа и T = 20 °C составляет 13,6 кг/м3.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УДК 614.841.3:006.354 ОКС 13.220.01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Ключевые слова: распространение пожара, объекты защиты, здания общественного назначения, производственные и складские здания, высотные объекты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-------------------------------------+-------------------------------------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¦Руководитель организаци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и-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       ¦                        В.И. Климкин¦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¦разработчика ФГУ ВНИИПО МЧС России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¦Начальник ФГУ ВНИИПО МЧС России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+------------------------------------+------------------------------------+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¦Начальник НИЦ ПП и ПЧСП ФГУ         ¦                        И.Р. Хасанов¦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¦ВНИИПО МЧС России    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+------------------------------------+------------------------------------+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¦Руководитель разработки             ¦                         Д.В. Ушаков¦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¦Начальник отдела 3.4 ФГУ ВНИИПО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¦МЧС России           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+------------------------------------+------------------------------------+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¦Исполнители                         ¦                           С.А. Зуев¦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¦Ведущий научный сотрудник ФГУ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¦ВНИИПО МЧС России    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-------------------------------------+-------------------------------------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Таблица Д.12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----------------------+-----------------+----------------------------------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¦Наименование горючего¦  ГОСТ, ТУ, ОСТ  ¦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Нормативная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объемная огнетушащая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материала      ¦                 ¦     концентрация, % (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об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.)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+---------------------+-----------------+---------------------------------+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Н-гептан       ¦ГОСТ 25823       ¦               4,2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----------------------+-----------------+----------------------------------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Д.13   Нормативная   объемная    огнетушащая    концентрация    хладона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217J1 (C F J).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    3 7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Плотность паров при P = 101,3 кПа и T - 20 °C составляет 12,3 кг/м3.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Таблица Д.13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----------------------+-----------------+----------------------------------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¦Наименование горючего¦  ГОСТ, ТУ, ОСТ  ¦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Нормативная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объемная огнетушащая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материала      ¦                 ¦     концентрация, % (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об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.)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+---------------------+-----------------+---------------------------------+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Н-гептан       ¦ГОСТ 25823       ¦               2,5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----------------------+-----------------+----------------------------------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Д.14   Нормативная  объемная  огнетушащая  концентрация  хладона  CF J.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3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Плотность паров при P = 101,3 кПа и T = 20 °C составляет 8,16 кг/м3.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Таблица Д.14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----------------------+-----------------+----------------------------------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¦Наименование горючего¦  ГОСТ, ТУ, ОСТ  ¦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Нормативная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объемная огнетушащая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материала      ¦                 ¦     концентрация, % (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об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.)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+---------------------+-----------------+---------------------------------+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Н-гептан       ¦ГОСТ 25823       ¦               4,6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----------------------+-----------------+----------------------------------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Д.15  Нормативная  объемная  огнетушащая  концентрация газового состава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  <w:proofErr w:type="spell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Аргонит</w:t>
                  </w:r>
                  <w:proofErr w:type="spell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" (азот (N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- 50% (об.); аргон (</w:t>
                  </w:r>
                  <w:proofErr w:type="spell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Ar</w:t>
                  </w:r>
                  <w:proofErr w:type="spell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) - 50% (Об.)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              2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Плотность паров при P - 101,3 кПа и T - 20 °C составляет 1,4 кг/м3.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Таблица Д.15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----------------------+-----------------+----------------------------------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¦Наименование горючего¦  ГОСТ, ТУ, ОСТ  ¦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Нормативная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объемная огнетушащая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материала      ¦                 ¦     концентрация, % (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об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.)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+---------------------+-----------------+---------------------------------+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Н-гептан       ¦ГОСТ 25823       ¦              36,8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----------------------+-----------------+----------------------------------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Примечание: Нормативную объемную огнетушащую концентрацию перечисленных выше газовых </w:t>
                  </w:r>
                  <w:proofErr w:type="gramStart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ОТВ</w:t>
                  </w:r>
                  <w:proofErr w:type="gramEnd"/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 xml:space="preserve"> для тушения пожара класса А2 следует принимать равной нормативной объемной огнетушащей концентрации для тушения н-гептана.";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пункты Д11 и Д12 считать пунктами Д16 и Д17 соответственно;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таблицы Д11 и Д12 считать таблицами Д16 и Д17 соответственно.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ОКС 13.220.10 УДК614.844.4:006.354</w:t>
                  </w:r>
                </w:p>
                <w:p w:rsidR="006A34BF" w:rsidRPr="006A34BF" w:rsidRDefault="006A34BF" w:rsidP="006A34BF">
                  <w:pPr>
                    <w:spacing w:after="96" w:line="240" w:lineRule="atLeast"/>
                    <w:jc w:val="both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Ключевые слова: автономная установка пожаротушения, автоматическая пожарная сигнализация, огнетушащее вещество, защищаемый объект</w:t>
                  </w:r>
                </w:p>
                <w:p w:rsidR="006A34BF" w:rsidRPr="006A34BF" w:rsidRDefault="006A34BF" w:rsidP="006A34BF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34BF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-------------------------------------+-------------------------------------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¦Руководитель организаци</w:t>
                  </w:r>
                  <w:proofErr w:type="gramStart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и-</w:t>
                  </w:r>
                  <w:proofErr w:type="gramEnd"/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 xml:space="preserve">           ¦                        В.И. Климкин¦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¦разработчика ФГУ     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¦ВНИИПО МЧС России    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¦Начальник            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                     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¦ФГУ ВНИИПО МЧС России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+------------------------------------+------------------------------------+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¦Руководитель разработки             ¦                        С.Н. Копылов¦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+------------------------------------+------------------------------------+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¦Начальник НИЦ ПСТ    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¦ФГУ ВНИИПО МЧС России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+------------------------------------+------------------------------------+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¦Исполнители          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+------------------------------------+------------------------------------+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¦Начальник отдела 2.4 ФГУ ВНИИПО МЧС ¦                           В.Л. Здор¦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¦России               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+------------------------------------+------------------------------------+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¦Начальник отдела 3.4 ФГУ ВНИИПО МЧС ¦                         Д.В. Ушаков¦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¦России               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+------------------------------------+------------------------------------+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¦Зам. начальника отдела 2.3 ФГУ      ¦                        А.В. Казаков¦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¦ВНИИПО МЧС России                   ¦                                    ¦</w:t>
                  </w:r>
                </w:p>
                <w:p w:rsidR="006A34BF" w:rsidRPr="006A34BF" w:rsidRDefault="006A34BF" w:rsidP="006A34B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tLeast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34BF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  <w:t>-------------------------------------+-------------------------------------</w:t>
                  </w:r>
                </w:p>
                <w:p w:rsidR="006A34BF" w:rsidRPr="006A34BF" w:rsidRDefault="006A34BF" w:rsidP="006A34B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6A34BF" w:rsidRPr="006A34BF" w:rsidRDefault="006A34BF" w:rsidP="006A34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A34BF" w:rsidRPr="006A34BF" w:rsidTr="006A34BF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  <w:gridCol w:w="180"/>
            </w:tblGrid>
            <w:tr w:rsidR="006A34BF" w:rsidRPr="006A34BF">
              <w:trPr>
                <w:trHeight w:val="15"/>
                <w:tblCellSpacing w:w="0" w:type="dxa"/>
              </w:trPr>
              <w:tc>
                <w:tcPr>
                  <w:tcW w:w="9000" w:type="dxa"/>
                  <w:shd w:val="clear" w:color="auto" w:fill="A2A2A5"/>
                  <w:vAlign w:val="center"/>
                  <w:hideMark/>
                </w:tcPr>
                <w:p w:rsidR="006A34BF" w:rsidRPr="006A34BF" w:rsidRDefault="006A34BF" w:rsidP="006A34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"/>
                      <w:szCs w:val="18"/>
                      <w:lang w:eastAsia="ru-RU"/>
                    </w:rPr>
                  </w:pPr>
                </w:p>
              </w:tc>
              <w:tc>
                <w:tcPr>
                  <w:tcW w:w="180" w:type="dxa"/>
                  <w:vAlign w:val="center"/>
                  <w:hideMark/>
                </w:tcPr>
                <w:p w:rsidR="006A34BF" w:rsidRPr="006A34BF" w:rsidRDefault="006A34BF" w:rsidP="006A34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"/>
                      <w:szCs w:val="18"/>
                      <w:lang w:eastAsia="ru-RU"/>
                    </w:rPr>
                  </w:pPr>
                </w:p>
              </w:tc>
            </w:tr>
          </w:tbl>
          <w:p w:rsidR="006A34BF" w:rsidRPr="006A34BF" w:rsidRDefault="006A34BF" w:rsidP="006A34B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A34BF" w:rsidRPr="006A34BF" w:rsidRDefault="006A34BF" w:rsidP="006A34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03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</w:tblGrid>
      <w:tr w:rsidR="006A34BF" w:rsidRPr="006A34BF" w:rsidTr="006A34BF">
        <w:trPr>
          <w:tblCellSpacing w:w="0" w:type="dxa"/>
        </w:trPr>
        <w:tc>
          <w:tcPr>
            <w:tcW w:w="4050" w:type="dxa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6A34BF" w:rsidRPr="006A34BF" w:rsidRDefault="006A34BF" w:rsidP="006A34BF">
            <w:pPr>
              <w:spacing w:after="0" w:line="240" w:lineRule="auto"/>
              <w:rPr>
                <w:rFonts w:ascii="Verdana" w:eastAsia="Times New Roman" w:hAnsi="Verdana" w:cs="Times New Roman"/>
                <w:color w:val="D8D8D8"/>
                <w:sz w:val="17"/>
                <w:szCs w:val="17"/>
                <w:lang w:eastAsia="ru-RU"/>
              </w:rPr>
            </w:pPr>
          </w:p>
        </w:tc>
      </w:tr>
    </w:tbl>
    <w:p w:rsidR="00F57E5E" w:rsidRPr="00331411" w:rsidRDefault="00F57E5E" w:rsidP="00331411"/>
    <w:sectPr w:rsidR="00F57E5E" w:rsidRPr="0033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F4"/>
    <w:rsid w:val="000253B1"/>
    <w:rsid w:val="000357B0"/>
    <w:rsid w:val="000D3B2E"/>
    <w:rsid w:val="00226FEE"/>
    <w:rsid w:val="002512BB"/>
    <w:rsid w:val="002D5719"/>
    <w:rsid w:val="00331411"/>
    <w:rsid w:val="00367B0F"/>
    <w:rsid w:val="003858DF"/>
    <w:rsid w:val="00391282"/>
    <w:rsid w:val="003925DD"/>
    <w:rsid w:val="003A6A14"/>
    <w:rsid w:val="003B68EC"/>
    <w:rsid w:val="003E734E"/>
    <w:rsid w:val="004450E7"/>
    <w:rsid w:val="0048428B"/>
    <w:rsid w:val="004A0017"/>
    <w:rsid w:val="004A420A"/>
    <w:rsid w:val="004D7C2B"/>
    <w:rsid w:val="004E1F3F"/>
    <w:rsid w:val="004F52F4"/>
    <w:rsid w:val="005C78C5"/>
    <w:rsid w:val="00612DA8"/>
    <w:rsid w:val="006243A6"/>
    <w:rsid w:val="006557DB"/>
    <w:rsid w:val="006A34BF"/>
    <w:rsid w:val="006C5D98"/>
    <w:rsid w:val="00732950"/>
    <w:rsid w:val="00785A84"/>
    <w:rsid w:val="007D5770"/>
    <w:rsid w:val="007F4994"/>
    <w:rsid w:val="00896231"/>
    <w:rsid w:val="008D6288"/>
    <w:rsid w:val="0095755B"/>
    <w:rsid w:val="00997FCE"/>
    <w:rsid w:val="009C4E24"/>
    <w:rsid w:val="009D6495"/>
    <w:rsid w:val="009F76DD"/>
    <w:rsid w:val="00A01C55"/>
    <w:rsid w:val="00A24388"/>
    <w:rsid w:val="00A37756"/>
    <w:rsid w:val="00AC6E2F"/>
    <w:rsid w:val="00AD78F9"/>
    <w:rsid w:val="00AF5C9A"/>
    <w:rsid w:val="00B04ED2"/>
    <w:rsid w:val="00BA1906"/>
    <w:rsid w:val="00BE2CF8"/>
    <w:rsid w:val="00C53577"/>
    <w:rsid w:val="00C5563E"/>
    <w:rsid w:val="00C706A3"/>
    <w:rsid w:val="00C946B7"/>
    <w:rsid w:val="00CD5F18"/>
    <w:rsid w:val="00D12B66"/>
    <w:rsid w:val="00D31C2A"/>
    <w:rsid w:val="00D47599"/>
    <w:rsid w:val="00DC1C71"/>
    <w:rsid w:val="00E143E7"/>
    <w:rsid w:val="00E70398"/>
    <w:rsid w:val="00E70D59"/>
    <w:rsid w:val="00EF4CB6"/>
    <w:rsid w:val="00F57E5E"/>
    <w:rsid w:val="00FD282D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C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946B7"/>
  </w:style>
  <w:style w:type="paragraph" w:customStyle="1" w:styleId="a9">
    <w:name w:val="a9"/>
    <w:basedOn w:val="a"/>
    <w:rsid w:val="00C9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C9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e"/>
    <w:basedOn w:val="a"/>
    <w:rsid w:val="00C9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C9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C9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E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6A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6A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A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34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C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946B7"/>
  </w:style>
  <w:style w:type="paragraph" w:customStyle="1" w:styleId="a9">
    <w:name w:val="a9"/>
    <w:basedOn w:val="a"/>
    <w:rsid w:val="00C9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C9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e"/>
    <w:basedOn w:val="a"/>
    <w:rsid w:val="00C9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C9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C9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E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6A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6A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A3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34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4900</Words>
  <Characters>27935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2015-09-25T12:45:00Z</dcterms:created>
  <dcterms:modified xsi:type="dcterms:W3CDTF">2015-09-25T12:45:00Z</dcterms:modified>
</cp:coreProperties>
</file>